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eastAsia="方正小标宋简体"/>
          <w:szCs w:val="30"/>
        </w:rPr>
        <w:pict>
          <v:shape id="_x0000_s1026" o:spid="_x0000_s1026" o:spt="136" type="#_x0000_t136" style="position:absolute;left:0pt;margin-left:5.3pt;margin-top:11.25pt;height:66pt;width:412.9pt;mso-wrap-distance-bottom:0pt;mso-wrap-distance-left:9pt;mso-wrap-distance-right:9pt;mso-wrap-distance-top:0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黔南民族职业技术学院人事处文件" style="font-family:方正小标宋简体;font-size:35pt;font-weight:bold;v-text-align:center;"/>
            <w10:wrap type="square"/>
          </v:shape>
        </w:pic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spacing w:line="400" w:lineRule="exact"/>
        <w:ind w:left="2873" w:leftChars="1368" w:firstLine="0" w:firstLineChars="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400" w:lineRule="exact"/>
        <w:ind w:left="2873" w:leftChars="1368" w:firstLine="0" w:firstLineChars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人事处通〔202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号              </w:t>
      </w:r>
    </w:p>
    <w:p>
      <w:pPr>
        <w:jc w:val="center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5532120" cy="0"/>
                <wp:effectExtent l="0" t="13970" r="1143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3212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8.95pt;height:0pt;width:435.6pt;z-index:251660288;mso-width-relative:page;mso-height-relative:page;" filled="f" stroked="t" coordsize="21600,21600" o:gfxdata="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bI1JtYAAAAGAQAADwAAAAAAAAABACAAAAAiAAAAZHJzL2Rvd25yZXYu&#10;eG1sUEsBAhQAFAAAAAgAh07iQBdwsgf9AQAA7wMAAA4AAAAAAAAAAQAgAAAAJQ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高职教师学理论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暑期研修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</w:rPr>
        <w:t>工作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auto"/>
          <w:spacing w:val="0"/>
          <w:sz w:val="44"/>
          <w:szCs w:val="44"/>
          <w:shd w:val="clear" w:fill="FFFFFF"/>
        </w:rPr>
        <w:t>的通知</w:t>
      </w:r>
    </w:p>
    <w:p>
      <w:pPr>
        <w:shd w:val="clear"/>
        <w:ind w:firstLine="640" w:firstLineChars="200"/>
        <w:rPr>
          <w:rFonts w:hint="eastAsia"/>
          <w:color w:val="auto"/>
          <w:sz w:val="32"/>
          <w:szCs w:val="32"/>
        </w:rPr>
      </w:pPr>
    </w:p>
    <w:p>
      <w:pPr>
        <w:shd w:val="clea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系、各部门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提升学院管理水平，加强学院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教师队伍建设，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借助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“星空私享课”微信学习平台，开展“高职教师学理论”暑期研修工作，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现就有关事项通知如下：</w:t>
      </w:r>
    </w:p>
    <w:p>
      <w:pPr>
        <w:shd w:val="clear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课程内容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本次暑期研修课程共分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7个模块，分别为：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课程1领导干部战略思维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课程2“双高”绩效构建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课程3教学成果奖申报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课程4“十四五”规划编制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课程5课程设计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课程6教学方法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课程7教学质量评价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shd w:val="clear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二、培训对象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学院领导班子成员、中层领导干部和全体教师。</w:t>
      </w:r>
    </w:p>
    <w:p>
      <w:pPr>
        <w:shd w:val="clear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三、培训时间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2021年8月12日至8月28日。</w:t>
      </w:r>
    </w:p>
    <w:p>
      <w:pPr>
        <w:shd w:val="clear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四、培训方式</w:t>
      </w:r>
    </w:p>
    <w:p>
      <w:pPr>
        <w:shd w:val="clear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采用线上自主限时免费学习，根据微信群转发链接登录“高职教师学理论”暑期研修。</w:t>
      </w:r>
    </w:p>
    <w:p>
      <w:pPr>
        <w:shd w:val="clear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五、培训要求</w:t>
      </w:r>
    </w:p>
    <w:p>
      <w:pPr>
        <w:shd w:val="clear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1、各系、各部门务必高度重视，认真组织教职工按照文件安排进行学习；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撰写学习心得并针对本人工作职责，提出建议；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9月2日17:00前将学习完成情况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截图、学习心得提交人事处备案。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附件：黔南民族职业技术学院“高职教师学理论”暑期研修学习安排表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shd w:val="clear"/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</w:t>
      </w:r>
    </w:p>
    <w:p>
      <w:pPr>
        <w:shd w:val="clear"/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2021年8月11日        </w:t>
      </w: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hd w:val="clea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黔南民族职业技术学院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“高职教师学理论”暑期研修学习安排表</w:t>
      </w:r>
    </w:p>
    <w:tbl>
      <w:tblPr>
        <w:tblStyle w:val="5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4080"/>
        <w:gridCol w:w="1043"/>
        <w:gridCol w:w="1566"/>
        <w:gridCol w:w="753"/>
        <w:gridCol w:w="93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培训人员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学习要求</w:t>
            </w:r>
          </w:p>
        </w:tc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学习时间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学习网站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课程1：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领导干部战略思维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1-1、如何构建自己的“双高”战略思维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院领导班子成员；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各系各部门主要负责人；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1.撰写学习心得并针对学院、部门发展，提出建议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8月8日 -8月28日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限时免费学习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根据微信群转发链接登录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"高职教师学理论"暑期研修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1-2、如何提升部门的“双高”战略格局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1-3、如何让“双高”战略切实落地实施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1-4、高校战略管理：基本特征与面对现实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1-5、高校战略管理：资源配置与规划实施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1-6、高校战略管理：教育营销与跨越式发展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1-7、高校战略管理：利益相关者与大学经营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1-8、外部利益相关者对大学战略的影响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1-9、内部利益相关者对大学战略的影响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1-10、院校研究在大学战略规划中的作用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1-11、自主性带来大学的竞争发展战略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1-12、竞争带来的大学发展战略选择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1-13、核心竞争力与大学发展战略的构建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1-14、路径依赖与大学发展战略的调整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1-15、英国大学战略定位的原则和特点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1-16、大学使命和愿景的内涵与特征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1-17、大学使命与愿景的价值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1-18、多维视角下的大学核心竞争力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1-19、大学核心竞争力的构成和激活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课程2：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“双高”绩效构建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2-1、如何对“双高”建设开展绩效评价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双高方案各模块负责人；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兴黔富民项目负责人；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1.撰写学习心得并针对模块编制，项目建设等，提出建议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2-2、2021年度“双高计划”绩效自评与筹划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2-3、如何以专业群为抓手落实50%“双高”绩效目标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2-4、如何高效筹备“双高计划”建设中期绩效评价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课程3：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教学成果奖申报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3-1、高职教育类课题申报选题切入点分析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质量提升工程项目负责人；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兴黔富民项目负责人；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各系负责人；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教务处、科研处相关人员；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1.撰写学习心得并针对教学成果奖申报，提出建议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3-2、教学成果奖的概念、要素和特点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3-3、教学成果奖培育与申报过程中应注意的问题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3-4、高等教育国家教学成果奖的主题展望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3-5、高等培育教学成果奖的4个原则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3-6、教学成果奖是一个不断创新和改革的过程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3-7、教学成果奖总结、取名和填报的诀窍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3-8、从评委的视角看高职教育成果奖的培育之一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3-9、从评委的视角看高职教育成果奖的培育之二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3-10、从评委的视角看高职教育成果奖的培育之三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3-11、职业教育教学成果奖的评奖趋势分析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3-12、企业参与职业教育成果奖需要如何改进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3-13、职业教育成果培育的选题方向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3-14、科研成果如何转化为教学成果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3-15、国家教学成果奖评奖的特点及政策建议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3-16、高等教育国家级教学成果奖的培育与申报改进建议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3-17、高等教育国家级教学成果奖的两大困境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3-18、高等教育国家级教学成果奖困境的原因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3-19、对国家级教学成果奖政策的调适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3-20、教学研究成果的推广策略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3-21、实践智慧：教学学术的成果表征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课程4：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“十四五”规划编制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4-1、如何高效推进“十四五”规划编制工作？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十四五编制小组成员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1.撰写学习心得并针对十四五编制模块，提出建议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8月8日 -8月28日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限时免费学习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根据微信群转发链接登录"高职教师学理论"暑期研修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4-2、面向2030世界高等教育发展战略选择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4-3、面向2035年的中国教育对外开放思路与对策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4-4、面向2035的一流应用型本科教育发展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4-5、2020-2035：发展教育以提高对人力资源的贡献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4-6、我国职业教育现代化2035发展探析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4-7、我国职业教育现代化2035发展探析（二）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4-8、“十四五”期间我国高校在校生规模和财政投资的分析结果及建议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4-9、“十四五”规划中学科建设的五对关系（一）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4-10、“十四五”规划中学科建设的五对关系（二）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4-11、“十四五”及未来中长期中国劳动力供需趋势及对策分析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4-12、“十四五”时期中国工业竞争新优势的支撑条件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4-13、33所一流大学“十三五规划”文本分析（一）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4-14、33所一流大学“十三五规划”文本分析（二）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4-15、C9高校“十三五”规划中的国际化部署分析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4-16、教育部直属师范高校“十三五”规划文本分析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4-17、澳大利亚八校联盟大学战略规划文本分析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4-18、康奈尔大学战略规划的启示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4-19、乔治·凯勒关于大学战略规划的主要思想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4-20、大学发展规划人员的专业化发展策略（一）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4-21、大学发展规划人员的专业化发展策略（二）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课程5：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课程设计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5-1、如何打磨真正的“金课”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1.撰写学习心得并针对本人所授课程，提出课程设计新思路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5-2、课程能力及其三个构成要素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5-3、课程能力的发展阶段及结构特性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5-4、教师课程能力的研究综述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5-5、学科系统化和职业分析导向课程开发模式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5-6、高校课程能力建设的5个问题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5-7、高等技术教育课程的专业定向性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5-8、高等技术教育课程的指导思想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5-9、高等技术教育课程要面向多样性需求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5-10、高等技术教育课程的多样性和弹性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5-11、从“教学能力”向“课程能力”发展的体现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5-12、OBE模式课程目标设计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5-13、OBE模式的课程结构设计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5-14、OBE模式的课程教学大纲设计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5-15、OBE模式的课程单元设计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5-16、课群建设及其特点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5-17、“双证书”课程的企业主体论评述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5-18、“双证书”课程的教师主体和学校主体的评述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5-19、美国社区学院的课程设置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5-20、澳大利亚TAFE课程设计的特点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5-21、美国大学工程顶点课程的设计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课程6：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教学方法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6-1、如何设计有序的“教学”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全体教师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1.撰写学习心得并针对本人所授课程，提出改进教学的方法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8月8日 -8月28日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限时免费学习</w:t>
            </w:r>
          </w:p>
        </w:tc>
        <w:tc>
          <w:tcPr>
            <w:tcW w:w="5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根据微信群转发链接登录"高职教师学理论"暑期研修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6-2、中世纪大学的讲授教学法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6-3、中世纪大学的辩论教学法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6-4、近代大学的研究班教学方法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6-5、近代大学的实验室教学法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6-6、近代大学讲授法的变革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6-7、近代大学的导师制教学方法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6-8、大众化时期传统教学方法的改进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6-9、大众化时期新的教学方法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6-10、现代教学的三种理念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6-11、现代教学理念下的两种教学方法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6-12、现代教学理念下我国大学教学方法的发展趋势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6-13、如何将学科知识转化为教学内容——PCK研究的背景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6-14、什么是PCK（将学科知识转化为教学知识）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6-15、PCK研究的意义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6-16、有意义学习对课堂教学的启示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6-17、“学生中心”和“成果导向”在教学目标中的区别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6-18、“学生中心”和“成果导向”在教学方式中的区别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6-19、“学生中心”和“成果导向”在教学评估中的区别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6-20、无边界高等教育及未来的教学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6-21、AI可能引发的高等教育教学变革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课程7：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教学质量评价</w:t>
            </w: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7-1、如何开展有效的“评价”</w:t>
            </w:r>
          </w:p>
        </w:tc>
        <w:tc>
          <w:tcPr>
            <w:tcW w:w="5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全体教师；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质量办、教务处、信息中心、学生处主要负责人；</w:t>
            </w:r>
          </w:p>
        </w:tc>
        <w:tc>
          <w:tcPr>
            <w:tcW w:w="8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1.撰写学习心得并针对本人所授课程或根据部门职责，提出教学质量评价建议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2.9月2日17:00前提交人事处备案</w:t>
            </w: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7-2、如何组织合理的“考试”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7-3、关于考试分数作用的分析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7-4、高校成绩分析的三维模型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7-5、如何看待原始分与标准分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7-6、考试和评价的概念区分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7-7、什么是期末考试？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7-8、让学生按照“常模”自我评价与进步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7-9、如何对课堂教学质量进行定量观察研究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7-10、OBE导向的课程考核及其评价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7-11、基于专业认证标准改造毕业设计与试卷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7-12、将德尔菲法和定量分析相结合的四种方法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7-13、把焦点小组法引进高校学生评教之中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7-14、应用焦点小组法评价教学的步骤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7-15、调查问卷设计的基本原则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7-16、问卷设计的八个程序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7-17、对实训活动的学习者体验进行定量研究的方法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7-18、同行评议的制度要素与现存问题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7-19、统计数据的无量纲化处理方法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7-20、要区分教学评价与教育评价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7-21、教育评价的副作用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7-22、利用或削弱教育评价副作用的对策</w:t>
            </w:r>
          </w:p>
        </w:tc>
        <w:tc>
          <w:tcPr>
            <w:tcW w:w="5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hd w:val="clea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538B"/>
    <w:rsid w:val="11D525DC"/>
    <w:rsid w:val="2A4F538B"/>
    <w:rsid w:val="425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2021-08-10T16:21:00Z</dcterms:created>
  <dc:creator>君临天下1381160866</dc:creator>
  <cp:lastModifiedBy>Administrator</cp:lastModifiedBy>
  <dcterms:modified xsi:type="dcterms:W3CDTF">2021-08-11T06:02:07Z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24DBA0184BFD415F9C678ED29E34886D</vt:lpwstr>
  </property>
</Properties>
</file>