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hint="default" w:ascii="宋体" w:hAnsi="宋体" w:eastAsiaTheme="minorEastAsia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附件4</w:t>
      </w:r>
    </w:p>
    <w:p>
      <w:pPr>
        <w:adjustRightInd w:val="0"/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贵州省职业教育兴黔富民行动计划 </w:t>
      </w:r>
    </w:p>
    <w:p>
      <w:pPr>
        <w:adjustRightInd w:val="0"/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省级特色骨干</w:t>
      </w:r>
      <w:r>
        <w:rPr>
          <w:rFonts w:hint="eastAsia" w:ascii="宋体" w:hAnsi="宋体"/>
          <w:b/>
          <w:sz w:val="36"/>
          <w:szCs w:val="36"/>
        </w:rPr>
        <w:t>专业群建设项目申报指南</w:t>
      </w:r>
    </w:p>
    <w:p>
      <w:pPr>
        <w:adjustRightInd w:val="0"/>
        <w:spacing w:line="560" w:lineRule="exact"/>
        <w:jc w:val="center"/>
        <w:rPr>
          <w:rFonts w:ascii="宋体"/>
          <w:b/>
          <w:sz w:val="36"/>
          <w:szCs w:val="36"/>
        </w:rPr>
      </w:pP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为进一步提升贵州职业院校专业建设水平，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着力建设一批服务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助推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区域经济和产业发展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的高水平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特色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专业群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,根据教育部、财政部《关于实施中国特</w:t>
      </w:r>
      <w:r>
        <w:rPr>
          <w:rFonts w:hint="eastAsia" w:ascii="仿宋" w:hAnsi="仿宋" w:eastAsia="仿宋" w:cs="仿宋"/>
          <w:bCs/>
          <w:sz w:val="28"/>
          <w:szCs w:val="28"/>
        </w:rPr>
        <w:t>色高水平高职学校和专业建设计划的意见》教职〔2019〕5号文和《贵州省职业教育兴黔富民行动计划建设项目实施方案（2020-2022年）》等文件精神，制定本申报指南。</w:t>
      </w:r>
    </w:p>
    <w:p>
      <w:pPr>
        <w:adjustRightInd w:val="0"/>
        <w:spacing w:line="560" w:lineRule="exact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一、申报范围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（一）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省级特色骨干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专业群建设项目面向全省独立设置的高等职业院校。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（二）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省级特色骨干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专业群应面向区域或行业重点产业，依托优势特色专业，按照与产业链的对应性、群内专业关联发展等组群逻辑，有效整合或跨类融合相关专业形成专业集群。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群内专业产业背景相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同、专业基础相关、技术领域相通、就业岗位相关、教学资源共享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，形成优势互补、协同发展的建设机制。</w:t>
      </w:r>
    </w:p>
    <w:p>
      <w:pPr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（三）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省级特色骨干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专业群一般包含3—5个专业，原则上含1个核心专业，其核心专业应是省级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以上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骨干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专业或是经过三年以上培育的校级重点专业，至少有1届高职毕业生。该专业群在校生规模600人以上。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（四）申报专业群以群内最能体现专业群特色的专业名称命名</w:t>
      </w:r>
      <w:r>
        <w:rPr>
          <w:rFonts w:hint="eastAsia"/>
          <w:color w:val="auto"/>
        </w:rPr>
        <w:t>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也可根据产业变革和新技术应用情况增加专业群方向。</w:t>
      </w:r>
    </w:p>
    <w:p>
      <w:pPr>
        <w:adjustRightInd w:val="0"/>
        <w:spacing w:line="360" w:lineRule="auto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</w:p>
    <w:p>
      <w:pPr>
        <w:adjustRightInd w:val="0"/>
        <w:spacing w:line="560" w:lineRule="exact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二、建设要求</w:t>
      </w:r>
    </w:p>
    <w:p>
      <w:pPr>
        <w:adjustRightInd w:val="0"/>
        <w:spacing w:line="560" w:lineRule="exact"/>
        <w:ind w:firstLine="602" w:firstLineChars="200"/>
        <w:rPr>
          <w:rFonts w:ascii="楷体_GB2312" w:hAnsi="黑体" w:eastAsia="楷体_GB2312" w:cs="黑体"/>
          <w:b/>
          <w:sz w:val="30"/>
          <w:szCs w:val="32"/>
        </w:rPr>
      </w:pPr>
      <w:r>
        <w:rPr>
          <w:rFonts w:hint="eastAsia" w:ascii="楷体_GB2312" w:hAnsi="黑体" w:eastAsia="楷体_GB2312" w:cs="黑体"/>
          <w:b/>
          <w:sz w:val="30"/>
          <w:szCs w:val="32"/>
        </w:rPr>
        <w:t>（一）瞄准产业链技术领域，明确群人才培养目标定位。</w:t>
      </w:r>
    </w:p>
    <w:p>
      <w:pPr>
        <w:pStyle w:val="3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面向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贵州新型城镇化建设的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主导产业、支柱产业和战略性新兴产业重点领域，聚焦高端产业和产业高端，围绕产业链或产业集群的重要环节和单元，将专业群技术技能人才培养紧扣产业主要职业岗位群的人才需求。</w:t>
      </w:r>
      <w:r>
        <w:rPr>
          <w:rFonts w:ascii="仿宋" w:hAnsi="仿宋" w:eastAsia="仿宋"/>
          <w:color w:val="auto"/>
          <w:sz w:val="28"/>
          <w:szCs w:val="28"/>
        </w:rPr>
        <w:t>发挥专业群的集聚效应和服务功能，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不断提升职业教育专业链、人才链与产业链、创新链之间的对接度与契合度，</w:t>
      </w:r>
      <w:r>
        <w:rPr>
          <w:rFonts w:ascii="仿宋" w:hAnsi="仿宋" w:eastAsia="仿宋"/>
          <w:color w:val="auto"/>
          <w:sz w:val="28"/>
          <w:szCs w:val="28"/>
        </w:rPr>
        <w:t>实现人才培养供给侧和产业需求侧结构要素全方位融合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adjustRightInd w:val="0"/>
        <w:spacing w:line="560" w:lineRule="exact"/>
        <w:ind w:firstLine="602" w:firstLineChars="200"/>
        <w:rPr>
          <w:rFonts w:ascii="楷体_GB2312" w:hAnsi="黑体" w:eastAsia="楷体_GB2312" w:cs="黑体"/>
          <w:b/>
          <w:sz w:val="30"/>
          <w:szCs w:val="32"/>
        </w:rPr>
      </w:pPr>
      <w:r>
        <w:rPr>
          <w:rFonts w:hint="eastAsia" w:ascii="楷体_GB2312" w:hAnsi="黑体" w:eastAsia="楷体_GB2312" w:cs="黑体"/>
          <w:b/>
          <w:sz w:val="30"/>
          <w:szCs w:val="32"/>
        </w:rPr>
        <w:t>（二）对接岗位集群需求，改革人才培养模式。</w:t>
      </w:r>
    </w:p>
    <w:p>
      <w:pPr>
        <w:adjustRightInd w:val="0"/>
        <w:spacing w:line="560" w:lineRule="exact"/>
        <w:ind w:firstLine="560" w:firstLineChars="200"/>
        <w:rPr>
          <w:rFonts w:ascii="宋体" w:hAnsi="宋体" w:eastAsia="宋体" w:cs="宋体"/>
          <w:color w:val="auto"/>
          <w:sz w:val="19"/>
          <w:szCs w:val="19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以专业群为统领，统筹群内各专业人才培养模式的设计、创新与资源配置，凸显亮点和特色，努力探索有利于高素质技术技能人才目标达成的人才培养途径。深入对接现代学徒制、“1+X”证书制度、国家“学分银行”及高职扩招等制度和政策，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健全德技并修、工学结合的育人机制，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协同推进专业群多样化人才培养模式改革，积极探索内涵相通、做法各异的人才培养模式，为学生个性化发展、多路径成才、终身发展开辟新的通道。优化人才培养方案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，把劳模精神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工匠精神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和劳动教育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融入教学标准，推进职业技能和职业精神培养高度融合。</w:t>
      </w:r>
    </w:p>
    <w:p>
      <w:pPr>
        <w:adjustRightInd w:val="0"/>
        <w:spacing w:line="560" w:lineRule="exact"/>
        <w:ind w:firstLine="602" w:firstLineChars="200"/>
        <w:rPr>
          <w:rFonts w:ascii="楷体_GB2312" w:hAnsi="黑体" w:eastAsia="楷体_GB2312" w:cs="黑体"/>
          <w:b/>
          <w:color w:val="auto"/>
          <w:sz w:val="30"/>
          <w:szCs w:val="32"/>
        </w:rPr>
      </w:pPr>
      <w:r>
        <w:rPr>
          <w:rFonts w:hint="eastAsia" w:ascii="楷体_GB2312" w:hAnsi="黑体" w:eastAsia="楷体_GB2312" w:cs="黑体"/>
          <w:b/>
          <w:color w:val="auto"/>
          <w:sz w:val="30"/>
          <w:szCs w:val="32"/>
        </w:rPr>
        <w:t>（三）围绕群融合型课程体系构建，推动教法教材改革。</w:t>
      </w:r>
    </w:p>
    <w:p>
      <w:pPr>
        <w:pStyle w:val="3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ascii="仿宋" w:hAnsi="仿宋" w:eastAsia="仿宋" w:cs="仿宋"/>
          <w:bCs/>
          <w:color w:val="auto"/>
          <w:sz w:val="28"/>
          <w:szCs w:val="28"/>
        </w:rPr>
        <w:t>紧扣区域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和行业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发展，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传递产业逻辑，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精准对接区域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和行业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人才需求，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围绕专业群培养目标，构建“底层共享、中层渗透、上层互选”的“平台+模块”的专业群融合型课程体系。校企共同研制科学规范的人才培养方案和课程标准，根据产业重组、内涵升级、流程再造、职业变迁等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产业逻辑传导到专业群，对专业群的课程内容进行充实、更新和调整，及时将新技术、新工艺、新规范等产业先进元素纳入教学标准和教学内容。加强课程教学资源建设，以“国家资源+自建补充”的模式，建设和使用好</w:t>
      </w:r>
      <w:r>
        <w:rPr>
          <w:rFonts w:ascii="仿宋" w:hAnsi="仿宋" w:eastAsia="仿宋"/>
          <w:color w:val="auto"/>
          <w:sz w:val="28"/>
          <w:szCs w:val="28"/>
        </w:rPr>
        <w:t>专业群课程教学资源</w:t>
      </w:r>
      <w:r>
        <w:rPr>
          <w:rFonts w:hint="eastAsia" w:ascii="仿宋" w:hAnsi="仿宋" w:eastAsia="仿宋"/>
          <w:color w:val="auto"/>
          <w:sz w:val="28"/>
          <w:szCs w:val="28"/>
        </w:rPr>
        <w:t>，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实现信息化教学资源在专业群内的广泛共享。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深化教材与教法改革，推动课堂革命。倡导使用新型活页式、工作手册式教材并配套开发立体化、可视化、动态化、交互式的信息化资源。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普及推广项目教学、案例教学、情景教学、工作过程导向教学等，推广混合式教学、理实一体教学、模块化教学等新型教学模式。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适应“互联网+职业教育”发展需求，运用现代信息技术改进教学方式方法。</w:t>
      </w:r>
    </w:p>
    <w:p>
      <w:pPr>
        <w:adjustRightInd w:val="0"/>
        <w:spacing w:line="560" w:lineRule="exact"/>
        <w:ind w:firstLine="602" w:firstLineChars="200"/>
        <w:rPr>
          <w:rFonts w:ascii="楷体_GB2312" w:hAnsi="黑体" w:eastAsia="楷体_GB2312" w:cs="黑体"/>
          <w:b/>
          <w:sz w:val="30"/>
          <w:szCs w:val="32"/>
        </w:rPr>
      </w:pPr>
      <w:r>
        <w:rPr>
          <w:rFonts w:hint="eastAsia" w:ascii="楷体_GB2312" w:hAnsi="黑体" w:eastAsia="楷体_GB2312" w:cs="黑体"/>
          <w:b/>
          <w:sz w:val="30"/>
          <w:szCs w:val="32"/>
        </w:rPr>
        <w:t>（四）依据专业群需求，打造教师教学创新团队。</w:t>
      </w:r>
    </w:p>
    <w:p>
      <w:pPr>
        <w:pStyle w:val="7"/>
        <w:widowControl/>
        <w:spacing w:afterAutospacing="0" w:line="560" w:lineRule="exact"/>
        <w:ind w:firstLine="560" w:firstLineChars="200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依据专业群教学需要，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整合教师资源，完善跨专业的</w:t>
      </w:r>
      <w:r>
        <w:rPr>
          <w:rFonts w:hint="eastAsia" w:ascii="仿宋" w:hAnsi="仿宋" w:eastAsia="仿宋" w:cs="仿宋"/>
          <w:bCs/>
          <w:sz w:val="28"/>
          <w:szCs w:val="28"/>
        </w:rPr>
        <w:t>教师团队合作机制，使不同专业特长、专业背景的教师之间优势互补，提升专业群教师团队的教学能力与协同创新能力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。建立</w:t>
      </w:r>
      <w:r>
        <w:rPr>
          <w:rFonts w:hint="eastAsia" w:ascii="仿宋" w:hAnsi="仿宋" w:eastAsia="仿宋" w:cs="仿宋"/>
          <w:bCs/>
          <w:sz w:val="28"/>
          <w:szCs w:val="28"/>
        </w:rPr>
        <w:t>校企人员“互聘、互兼”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双向流动机制，探索校企“双带头人制”。加强专业群带头人、专业带头人、骨干教师、专任教师梯队建设，打造结构化教师教学创新团队。注重团队分工协作和结构化构成，对接专业集群，促进教学过程、教学内容、教学模式改革创新，实施团队合作的教学组织新方式、行动导向的模块化教学新模式。加强团队教师能力建设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建立健全教师职前培养、入职培训和在职研修体系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。落实专任教师五年一轮的企业实践锻炼要求等，提升教师实习实训指导能力和技术技能积累创新能力。</w:t>
      </w:r>
    </w:p>
    <w:p>
      <w:pPr>
        <w:adjustRightInd w:val="0"/>
        <w:spacing w:line="560" w:lineRule="exact"/>
        <w:ind w:firstLine="602" w:firstLineChars="200"/>
        <w:rPr>
          <w:rFonts w:ascii="楷体_GB2312" w:hAnsi="黑体" w:eastAsia="楷体_GB2312" w:cs="黑体"/>
          <w:b/>
          <w:sz w:val="30"/>
          <w:szCs w:val="32"/>
        </w:rPr>
      </w:pPr>
      <w:r>
        <w:rPr>
          <w:rFonts w:hint="eastAsia" w:ascii="楷体_GB2312" w:hAnsi="黑体" w:eastAsia="楷体_GB2312" w:cs="黑体"/>
          <w:b/>
          <w:sz w:val="30"/>
          <w:szCs w:val="32"/>
        </w:rPr>
        <w:t>（五）加强群平台建设，促进实训基地体系化建设。</w:t>
      </w:r>
    </w:p>
    <w:p>
      <w:pPr>
        <w:pStyle w:val="3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ascii="仿宋" w:hAnsi="仿宋" w:eastAsia="仿宋" w:cs="仿宋"/>
          <w:bCs/>
          <w:color w:val="auto"/>
          <w:sz w:val="28"/>
          <w:szCs w:val="28"/>
        </w:rPr>
        <w:t>以专业群为整体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，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规划设计实践教学体系，统筹基本技能培养、专项技能培养、综合技能培养、创新能力培养、职业能力培养等实践教学环节，最大限度地整合实习实训资源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。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采用“共享中心+共享平台+单元模块”的模式，共建共享一批“教、学、做、训、创、研</w:t>
      </w:r>
      <w:r>
        <w:rPr>
          <w:rFonts w:hint="eastAsia" w:ascii="仿宋" w:hAnsi="仿宋" w:eastAsia="仿宋"/>
          <w:color w:val="auto"/>
          <w:sz w:val="28"/>
          <w:szCs w:val="28"/>
        </w:rPr>
        <w:t>、赛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”衔接融通的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实习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实训平台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创新创业平台</w:t>
      </w:r>
      <w:r>
        <w:rPr>
          <w:rFonts w:hint="eastAsia" w:ascii="仿宋" w:hAnsi="仿宋" w:eastAsia="仿宋"/>
          <w:color w:val="auto"/>
          <w:sz w:val="28"/>
          <w:szCs w:val="28"/>
        </w:rPr>
        <w:t>和产教融合实训基地，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形成整体功能凸显的实践教学体系。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把大数据、物联网等先进信息技术融入基地建设，推动基地的开放共享和管理，提高基地的信息化水平。</w:t>
      </w:r>
    </w:p>
    <w:p>
      <w:pPr>
        <w:adjustRightInd w:val="0"/>
        <w:spacing w:line="560" w:lineRule="exact"/>
        <w:ind w:firstLine="602" w:firstLineChars="200"/>
        <w:rPr>
          <w:rFonts w:hint="eastAsia" w:ascii="楷体_GB2312" w:hAnsi="黑体" w:eastAsia="楷体_GB2312" w:cs="黑体"/>
          <w:b/>
          <w:sz w:val="30"/>
          <w:szCs w:val="32"/>
          <w:lang w:eastAsia="zh-CN"/>
        </w:rPr>
      </w:pPr>
      <w:r>
        <w:rPr>
          <w:rFonts w:hint="eastAsia" w:ascii="楷体_GB2312" w:hAnsi="黑体" w:eastAsia="楷体_GB2312" w:cs="黑体"/>
          <w:b/>
          <w:sz w:val="30"/>
          <w:szCs w:val="32"/>
        </w:rPr>
        <w:t>（六）注重群服务社会能力提升，打造技术技能</w:t>
      </w:r>
      <w:r>
        <w:rPr>
          <w:rFonts w:hint="eastAsia" w:ascii="楷体_GB2312" w:hAnsi="黑体" w:eastAsia="楷体_GB2312" w:cs="黑体"/>
          <w:b/>
          <w:sz w:val="30"/>
          <w:szCs w:val="32"/>
          <w:lang w:eastAsia="zh-CN"/>
        </w:rPr>
        <w:t>创新</w:t>
      </w:r>
      <w:r>
        <w:rPr>
          <w:rFonts w:hint="eastAsia" w:ascii="楷体_GB2312" w:hAnsi="黑体" w:eastAsia="楷体_GB2312" w:cs="黑体"/>
          <w:b/>
          <w:sz w:val="30"/>
          <w:szCs w:val="32"/>
        </w:rPr>
        <w:t>平台</w:t>
      </w:r>
      <w:r>
        <w:rPr>
          <w:rFonts w:hint="eastAsia" w:ascii="楷体_GB2312" w:hAnsi="黑体" w:eastAsia="楷体_GB2312" w:cs="黑体"/>
          <w:b/>
          <w:sz w:val="30"/>
          <w:szCs w:val="32"/>
          <w:lang w:eastAsia="zh-CN"/>
        </w:rPr>
        <w:t>。</w:t>
      </w:r>
    </w:p>
    <w:p>
      <w:pPr>
        <w:pStyle w:val="3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以科技成果推广转化、产品研发、技术创新、工艺改进、生产技术服务、科技咨询、技能大师培养等为主要内容，</w:t>
      </w:r>
      <w:r>
        <w:rPr>
          <w:rFonts w:hint="eastAsia" w:ascii="仿宋" w:hAnsi="仿宋" w:eastAsia="仿宋"/>
          <w:color w:val="auto"/>
          <w:sz w:val="28"/>
          <w:szCs w:val="28"/>
        </w:rPr>
        <w:t>建设应用技术研发平台、科技成果转化平台、文化与技艺传承平台与公共服务平台，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深度参与企业</w:t>
      </w:r>
      <w:r>
        <w:rPr>
          <w:rFonts w:hint="eastAsia" w:ascii="仿宋" w:hAnsi="仿宋" w:eastAsia="仿宋"/>
          <w:color w:val="auto"/>
          <w:sz w:val="28"/>
          <w:szCs w:val="28"/>
        </w:rPr>
        <w:t>特别是中小微企业的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技术改造与产品升级。提升民族传统工艺的高保真传承和高水平创新能力，为行业企业创造新的效益增长点。服务乡村振兴战略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和产业革命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，广泛开展面向农业农村的职业教育和培训。面向区域经济社会发展急需紧缺领域，大力开展高技能人才培训。积极主动开展职工继续教育，拓展社区教育和终身学习服务。</w:t>
      </w:r>
    </w:p>
    <w:p>
      <w:pPr>
        <w:adjustRightInd w:val="0"/>
        <w:spacing w:line="560" w:lineRule="exact"/>
        <w:ind w:firstLine="602" w:firstLineChars="200"/>
        <w:rPr>
          <w:rFonts w:hint="eastAsia" w:ascii="楷体_GB2312" w:hAnsi="黑体" w:eastAsia="楷体_GB2312" w:cs="黑体"/>
          <w:b/>
          <w:sz w:val="30"/>
          <w:szCs w:val="32"/>
          <w:lang w:eastAsia="zh-CN"/>
        </w:rPr>
      </w:pPr>
      <w:r>
        <w:rPr>
          <w:rFonts w:hint="eastAsia" w:ascii="楷体_GB2312" w:hAnsi="黑体" w:eastAsia="楷体_GB2312" w:cs="黑体"/>
          <w:b/>
          <w:sz w:val="30"/>
          <w:szCs w:val="32"/>
        </w:rPr>
        <w:t>（七）瞄准国际化发展目标，积极开展国际交流与合作</w:t>
      </w:r>
      <w:r>
        <w:rPr>
          <w:rFonts w:hint="eastAsia" w:ascii="楷体_GB2312" w:hAnsi="黑体" w:eastAsia="楷体_GB2312" w:cs="黑体"/>
          <w:b/>
          <w:sz w:val="30"/>
          <w:szCs w:val="32"/>
          <w:lang w:eastAsia="zh-CN"/>
        </w:rPr>
        <w:t>。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参与“一带一路”建设和国际产能合作，培养国际化技术技能人才；形成与企业和产品“走出去”相配套的发展模式，开展国（境）外办学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或培训</w:t>
      </w:r>
      <w:r>
        <w:rPr>
          <w:rFonts w:ascii="仿宋" w:hAnsi="仿宋" w:eastAsia="仿宋" w:cs="仿宋"/>
          <w:bCs/>
          <w:sz w:val="28"/>
          <w:szCs w:val="28"/>
        </w:rPr>
        <w:t>，与“走出去”企业共建培养培训基地，面向当地员工开展技术技能培训和学历职业教育；增强跨境产教协同能力，探索援助发展中国家职业教育的渠道和模式，吸引“一带一路”沿线国家学生来华留学。</w:t>
      </w:r>
    </w:p>
    <w:p>
      <w:pPr>
        <w:adjustRightInd w:val="0"/>
        <w:spacing w:line="560" w:lineRule="exact"/>
        <w:ind w:firstLine="602" w:firstLineChars="200"/>
        <w:rPr>
          <w:rFonts w:hint="eastAsia" w:ascii="楷体_GB2312" w:hAnsi="黑体" w:eastAsia="楷体_GB2312" w:cs="黑体"/>
          <w:b/>
          <w:sz w:val="30"/>
          <w:szCs w:val="32"/>
          <w:lang w:eastAsia="zh-CN"/>
        </w:rPr>
      </w:pPr>
      <w:r>
        <w:rPr>
          <w:rFonts w:hint="eastAsia" w:ascii="楷体_GB2312" w:hAnsi="黑体" w:eastAsia="楷体_GB2312" w:cs="黑体"/>
          <w:b/>
          <w:sz w:val="30"/>
          <w:szCs w:val="32"/>
        </w:rPr>
        <w:t>（八）立足长远发展需要，建立健全可持续发展保障机制</w:t>
      </w:r>
      <w:r>
        <w:rPr>
          <w:rFonts w:hint="eastAsia" w:ascii="楷体_GB2312" w:hAnsi="黑体" w:eastAsia="楷体_GB2312" w:cs="黑体"/>
          <w:b/>
          <w:sz w:val="30"/>
          <w:szCs w:val="32"/>
          <w:lang w:eastAsia="zh-CN"/>
        </w:rPr>
        <w:t>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依托优势特色专业，合理规划专业群建设。健全对接产业、动态调整、共建共享、自我完善的专业群建设发展机制，不断优化专业群结构布局，促进专业资源整合和结构优化，增强专业群服务产业能力。开展基于专业群的教学诊断与改进工作，提高专业群人才培养目标与企业岗位需求的吻合度，学生、家长、社会等对教学质量的满意度。建立适应专业群建设的组织架构和管理运行模式，主动联系行业企业参与专业群建设与管理，建立健全专业群建设的各项制度和项目管理制度，加强建设的组织和领导，投入足够的建设经费，完善建设保障措施，确保项目建设的顺利推进。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adjustRightInd w:val="0"/>
        <w:spacing w:line="560" w:lineRule="exact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三、申报材料、评审方式及项目管理</w:t>
      </w:r>
    </w:p>
    <w:p>
      <w:pPr>
        <w:adjustRightInd w:val="0"/>
        <w:spacing w:line="560" w:lineRule="exact"/>
        <w:ind w:firstLine="602" w:firstLineChars="200"/>
        <w:rPr>
          <w:rFonts w:ascii="楷体_GB2312" w:hAnsi="黑体" w:eastAsia="楷体_GB2312" w:cs="黑体"/>
          <w:b/>
          <w:sz w:val="30"/>
          <w:szCs w:val="32"/>
        </w:rPr>
      </w:pPr>
      <w:r>
        <w:rPr>
          <w:rFonts w:hint="eastAsia" w:ascii="楷体_GB2312" w:hAnsi="黑体" w:eastAsia="楷体_GB2312" w:cs="黑体"/>
          <w:b/>
          <w:sz w:val="30"/>
          <w:szCs w:val="32"/>
        </w:rPr>
        <w:t>（一）申报材料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1.</w:t>
      </w:r>
      <w:r>
        <w:rPr>
          <w:rFonts w:hint="eastAsia" w:ascii="仿宋" w:hAnsi="仿宋" w:eastAsia="仿宋" w:cs="宋体"/>
          <w:bCs/>
          <w:sz w:val="28"/>
          <w:szCs w:val="28"/>
        </w:rPr>
        <w:t>申报书；</w:t>
      </w:r>
    </w:p>
    <w:p>
      <w:pPr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ascii="仿宋" w:hAnsi="仿宋" w:eastAsia="仿宋" w:cs="宋体"/>
          <w:bCs/>
          <w:sz w:val="28"/>
          <w:szCs w:val="28"/>
        </w:rPr>
        <w:t>2.</w:t>
      </w:r>
      <w:r>
        <w:rPr>
          <w:rFonts w:hint="eastAsia" w:ascii="仿宋" w:hAnsi="仿宋" w:eastAsia="仿宋" w:cs="宋体"/>
          <w:bCs/>
          <w:sz w:val="28"/>
          <w:szCs w:val="28"/>
        </w:rPr>
        <w:t>建设方案</w:t>
      </w:r>
      <w:r>
        <w:rPr>
          <w:rFonts w:hint="eastAsia" w:ascii="仿宋" w:hAnsi="仿宋" w:eastAsia="仿宋" w:cs="仿宋"/>
          <w:bCs/>
          <w:sz w:val="28"/>
          <w:szCs w:val="28"/>
        </w:rPr>
        <w:t>（主要包括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特色骨干</w:t>
      </w:r>
      <w:r>
        <w:rPr>
          <w:rFonts w:hint="eastAsia" w:ascii="仿宋" w:hAnsi="仿宋" w:eastAsia="仿宋" w:cs="仿宋"/>
          <w:bCs/>
          <w:sz w:val="28"/>
          <w:szCs w:val="28"/>
        </w:rPr>
        <w:t>专业群建设基础、组群逻辑与建设目标、建设内容与实施举措、预期成效、建设进度、经费预算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、保障措施</w:t>
      </w:r>
      <w:r>
        <w:rPr>
          <w:rFonts w:hint="eastAsia" w:ascii="仿宋" w:hAnsi="仿宋" w:eastAsia="仿宋" w:cs="仿宋"/>
          <w:bCs/>
          <w:sz w:val="28"/>
          <w:szCs w:val="28"/>
        </w:rPr>
        <w:t>等方面的内容）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3.建设任务书；</w:t>
      </w:r>
    </w:p>
    <w:p>
      <w:pPr>
        <w:adjustRightInd w:val="0"/>
        <w:spacing w:line="560" w:lineRule="exact"/>
        <w:ind w:firstLine="554" w:firstLineChars="198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4</w:t>
      </w:r>
      <w:r>
        <w:rPr>
          <w:rFonts w:ascii="仿宋" w:hAnsi="仿宋" w:eastAsia="仿宋" w:cs="宋体"/>
          <w:bCs/>
          <w:sz w:val="28"/>
          <w:szCs w:val="28"/>
        </w:rPr>
        <w:t>.</w:t>
      </w:r>
      <w:r>
        <w:rPr>
          <w:rFonts w:hint="eastAsia" w:ascii="仿宋" w:hAnsi="仿宋" w:eastAsia="仿宋" w:cs="宋体"/>
          <w:bCs/>
          <w:sz w:val="28"/>
          <w:szCs w:val="28"/>
        </w:rPr>
        <w:t>佐证材料。</w:t>
      </w:r>
    </w:p>
    <w:p>
      <w:pPr>
        <w:adjustRightInd w:val="0"/>
        <w:spacing w:line="560" w:lineRule="exact"/>
        <w:ind w:firstLine="602" w:firstLineChars="200"/>
        <w:rPr>
          <w:rFonts w:ascii="楷体_GB2312" w:hAnsi="黑体" w:eastAsia="楷体_GB2312" w:cs="黑体"/>
          <w:b/>
          <w:sz w:val="30"/>
          <w:szCs w:val="32"/>
        </w:rPr>
      </w:pPr>
      <w:r>
        <w:rPr>
          <w:rFonts w:hint="eastAsia" w:ascii="楷体_GB2312" w:hAnsi="黑体" w:eastAsia="楷体_GB2312" w:cs="黑体"/>
          <w:b/>
          <w:sz w:val="30"/>
          <w:szCs w:val="32"/>
        </w:rPr>
        <w:t xml:space="preserve">（二）评审方式 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1.</w:t>
      </w:r>
      <w:r>
        <w:rPr>
          <w:rFonts w:hint="eastAsia" w:ascii="仿宋" w:hAnsi="仿宋" w:eastAsia="仿宋" w:cs="宋体"/>
          <w:bCs/>
          <w:sz w:val="28"/>
          <w:szCs w:val="28"/>
        </w:rPr>
        <w:t>材料初审。</w:t>
      </w:r>
      <w:r>
        <w:rPr>
          <w:rFonts w:hint="eastAsia" w:ascii="仿宋" w:hAnsi="仿宋" w:eastAsia="仿宋" w:cs="仿宋"/>
          <w:bCs/>
          <w:sz w:val="28"/>
          <w:szCs w:val="28"/>
        </w:rPr>
        <w:t>省教育厅将组织专家进行材料初审，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评出60%项目</w:t>
      </w:r>
      <w:r>
        <w:rPr>
          <w:rFonts w:hint="eastAsia" w:ascii="仿宋" w:hAnsi="仿宋" w:eastAsia="仿宋" w:cs="仿宋"/>
          <w:bCs/>
          <w:sz w:val="28"/>
          <w:szCs w:val="28"/>
        </w:rPr>
        <w:t>进入现场评选阶段。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2.现场评选。现场评选由现场陈述和答辩两个环节组成。现场陈述重点听取各学校教学校长、专业群负责人、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群内</w:t>
      </w:r>
      <w:r>
        <w:rPr>
          <w:rFonts w:hint="eastAsia" w:ascii="仿宋" w:hAnsi="仿宋" w:eastAsia="仿宋" w:cs="仿宋"/>
          <w:bCs/>
          <w:sz w:val="28"/>
          <w:szCs w:val="28"/>
        </w:rPr>
        <w:t>专业带头人从专业群建设的宏观、中观和微观三个层面进行汇报。教学校长说学校专业群建设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的顶层设计（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分钟），专业群负责人说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特色骨干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专业群建设（8分钟），抽取1名专业带头人说群内一个专业的专业建设（8分钟），团队成员现场答辩（3-5分钟）。要求宏观层面说明学校整体专业群建设规划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及保障措施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，以及省级专业群、校级专业群和一般专业群之间的关系；中观层面说明组群逻辑、专业群定位、群内专业之间的关系，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群建设举措和成效等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；微观层面说明该专业在专业群中的地位和作用，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群内专业建设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与专业群建设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相互呼应和支撑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专业建设预期成效能为专业群发展提供支撑。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3．评分。材料初评、现场专家评审、校际互评（参评院校现场</w:t>
      </w:r>
      <w:r>
        <w:rPr>
          <w:rFonts w:hint="eastAsia" w:ascii="仿宋" w:hAnsi="仿宋" w:eastAsia="仿宋" w:cs="仿宋"/>
          <w:bCs/>
          <w:sz w:val="28"/>
          <w:szCs w:val="28"/>
        </w:rPr>
        <w:t>实名打分）三个部分，分值各占</w:t>
      </w:r>
      <w:r>
        <w:rPr>
          <w:rFonts w:ascii="仿宋" w:hAnsi="仿宋" w:eastAsia="仿宋" w:cs="仿宋"/>
          <w:bCs/>
          <w:sz w:val="28"/>
          <w:szCs w:val="28"/>
        </w:rPr>
        <w:t>40%</w:t>
      </w:r>
      <w:r>
        <w:rPr>
          <w:rFonts w:hint="eastAsia" w:ascii="仿宋" w:hAnsi="仿宋" w:eastAsia="仿宋" w:cs="仿宋"/>
          <w:bCs/>
          <w:sz w:val="28"/>
          <w:szCs w:val="28"/>
        </w:rPr>
        <w:t>、50</w:t>
      </w:r>
      <w:r>
        <w:rPr>
          <w:rFonts w:ascii="仿宋" w:hAnsi="仿宋" w:eastAsia="仿宋" w:cs="仿宋"/>
          <w:bCs/>
          <w:sz w:val="28"/>
          <w:szCs w:val="28"/>
        </w:rPr>
        <w:t>%</w:t>
      </w:r>
      <w:r>
        <w:rPr>
          <w:rFonts w:hint="eastAsia" w:ascii="仿宋" w:hAnsi="仿宋" w:eastAsia="仿宋" w:cs="仿宋"/>
          <w:bCs/>
          <w:sz w:val="28"/>
          <w:szCs w:val="28"/>
        </w:rPr>
        <w:t>、1</w:t>
      </w:r>
      <w:r>
        <w:rPr>
          <w:rFonts w:ascii="仿宋" w:hAnsi="仿宋" w:eastAsia="仿宋" w:cs="仿宋"/>
          <w:bCs/>
          <w:sz w:val="28"/>
          <w:szCs w:val="28"/>
        </w:rPr>
        <w:t>0%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批准立项。通过评审，确定初选立项名单。初选名单由教育厅审定后予以公示，公示无异议后发文批准立项。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5.原则上在全省职业教育人才培养质量提升工程验收中评选为优秀的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bCs/>
          <w:sz w:val="28"/>
          <w:szCs w:val="28"/>
        </w:rPr>
        <w:t>专业群项目自动进入省级拟建特色骨干专业群项目,要求按照本指南重新拟交申报材料。</w:t>
      </w:r>
    </w:p>
    <w:p>
      <w:pPr>
        <w:adjustRightInd w:val="0"/>
        <w:spacing w:line="56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凡批准立项的省级特色骨干专业群，建设周期为二年（从下文立项之日起）。</w:t>
      </w:r>
      <w:r>
        <w:rPr>
          <w:rFonts w:hint="eastAsia" w:ascii="仿宋" w:hAnsi="仿宋" w:eastAsia="仿宋" w:cs="宋体"/>
          <w:sz w:val="28"/>
          <w:szCs w:val="28"/>
        </w:rPr>
        <w:t>建设期满后，省教育厅将按照建设方案、建设任务书进行验收，验收通过后由省教育厅统一公布验收结果。</w:t>
      </w:r>
    </w:p>
    <w:p>
      <w:pPr>
        <w:adjustRightInd w:val="0"/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adjustRightInd w:val="0"/>
        <w:spacing w:line="560" w:lineRule="exact"/>
        <w:rPr>
          <w:rFonts w:ascii="仿宋" w:hAnsi="仿宋" w:eastAsia="仿宋" w:cs="仿宋"/>
          <w:bCs/>
          <w:sz w:val="28"/>
          <w:szCs w:val="28"/>
        </w:rPr>
      </w:pP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ascii="仿宋" w:hAnsi="仿宋" w:eastAsia="仿宋" w:cs="仿宋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：《贵州省高等职业院校特色骨干专业群申报书》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35306"/>
    <w:rsid w:val="001172EF"/>
    <w:rsid w:val="00176BC9"/>
    <w:rsid w:val="002220C3"/>
    <w:rsid w:val="00224ADD"/>
    <w:rsid w:val="00227A19"/>
    <w:rsid w:val="002C528D"/>
    <w:rsid w:val="002E29FF"/>
    <w:rsid w:val="006F1B45"/>
    <w:rsid w:val="00711289"/>
    <w:rsid w:val="00723277"/>
    <w:rsid w:val="00785E48"/>
    <w:rsid w:val="00794D36"/>
    <w:rsid w:val="007F3601"/>
    <w:rsid w:val="00897C58"/>
    <w:rsid w:val="008D0C63"/>
    <w:rsid w:val="00E5293C"/>
    <w:rsid w:val="0186584E"/>
    <w:rsid w:val="08B176DC"/>
    <w:rsid w:val="09DC24A3"/>
    <w:rsid w:val="0C1742A2"/>
    <w:rsid w:val="0C422DB2"/>
    <w:rsid w:val="0EB1204B"/>
    <w:rsid w:val="0F2E0804"/>
    <w:rsid w:val="0FC343AF"/>
    <w:rsid w:val="11040A0B"/>
    <w:rsid w:val="1104687F"/>
    <w:rsid w:val="1159019A"/>
    <w:rsid w:val="137B3E75"/>
    <w:rsid w:val="13E72825"/>
    <w:rsid w:val="13FF73F0"/>
    <w:rsid w:val="14BE10C2"/>
    <w:rsid w:val="15AA4761"/>
    <w:rsid w:val="16114427"/>
    <w:rsid w:val="176E2DE1"/>
    <w:rsid w:val="18657D1F"/>
    <w:rsid w:val="186C5E68"/>
    <w:rsid w:val="1A080715"/>
    <w:rsid w:val="1F9B7A84"/>
    <w:rsid w:val="205A4E0B"/>
    <w:rsid w:val="209956F0"/>
    <w:rsid w:val="20FE0794"/>
    <w:rsid w:val="219F4197"/>
    <w:rsid w:val="22AF11A0"/>
    <w:rsid w:val="24D41469"/>
    <w:rsid w:val="25471071"/>
    <w:rsid w:val="25DF4757"/>
    <w:rsid w:val="26296A0A"/>
    <w:rsid w:val="267D3C3B"/>
    <w:rsid w:val="27792BF4"/>
    <w:rsid w:val="27E1420F"/>
    <w:rsid w:val="28815DC2"/>
    <w:rsid w:val="2973366A"/>
    <w:rsid w:val="29AB7333"/>
    <w:rsid w:val="306930E2"/>
    <w:rsid w:val="33E96B37"/>
    <w:rsid w:val="341B3ECB"/>
    <w:rsid w:val="3430695E"/>
    <w:rsid w:val="368F7635"/>
    <w:rsid w:val="39447E8F"/>
    <w:rsid w:val="397C600F"/>
    <w:rsid w:val="3A314E5E"/>
    <w:rsid w:val="3B33714D"/>
    <w:rsid w:val="3B635306"/>
    <w:rsid w:val="3DC85004"/>
    <w:rsid w:val="3E3E4756"/>
    <w:rsid w:val="40190B3F"/>
    <w:rsid w:val="402165A9"/>
    <w:rsid w:val="40B724F8"/>
    <w:rsid w:val="42151319"/>
    <w:rsid w:val="42AF24EF"/>
    <w:rsid w:val="43D43C3B"/>
    <w:rsid w:val="43EB06C1"/>
    <w:rsid w:val="44B330C8"/>
    <w:rsid w:val="450F538E"/>
    <w:rsid w:val="4C133F97"/>
    <w:rsid w:val="4E45492A"/>
    <w:rsid w:val="50687503"/>
    <w:rsid w:val="508455EA"/>
    <w:rsid w:val="50BE4AEC"/>
    <w:rsid w:val="577608EB"/>
    <w:rsid w:val="59500AE0"/>
    <w:rsid w:val="5B462743"/>
    <w:rsid w:val="5C2E1480"/>
    <w:rsid w:val="5C3978F9"/>
    <w:rsid w:val="5D7D7773"/>
    <w:rsid w:val="5E801F06"/>
    <w:rsid w:val="5F7C4150"/>
    <w:rsid w:val="605D32E5"/>
    <w:rsid w:val="62831BB1"/>
    <w:rsid w:val="662F1D6C"/>
    <w:rsid w:val="696737D8"/>
    <w:rsid w:val="6A050BFC"/>
    <w:rsid w:val="6AEC3FC7"/>
    <w:rsid w:val="6BA00C9B"/>
    <w:rsid w:val="6E6E7AEE"/>
    <w:rsid w:val="6F88079E"/>
    <w:rsid w:val="71426F91"/>
    <w:rsid w:val="72D01BDA"/>
    <w:rsid w:val="72D329BA"/>
    <w:rsid w:val="7422354F"/>
    <w:rsid w:val="76CA074B"/>
    <w:rsid w:val="7722332B"/>
    <w:rsid w:val="7B0C0CD2"/>
    <w:rsid w:val="7F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64" w:after="132" w:line="14" w:lineRule="atLeast"/>
      <w:jc w:val="left"/>
      <w:outlineLvl w:val="0"/>
    </w:pPr>
    <w:rPr>
      <w:rFonts w:ascii="Helvetica" w:hAnsi="Helvetica" w:eastAsia="Helvetica" w:cs="Times New Roman"/>
      <w:b/>
      <w:color w:val="37474F"/>
      <w:kern w:val="44"/>
      <w:sz w:val="42"/>
      <w:szCs w:val="4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4"/>
    <w:qFormat/>
    <w:uiPriority w:val="0"/>
    <w:pPr>
      <w:jc w:val="left"/>
    </w:pPr>
  </w:style>
  <w:style w:type="paragraph" w:styleId="4">
    <w:name w:val="Balloon Text"/>
    <w:basedOn w:val="1"/>
    <w:link w:val="31"/>
    <w:qFormat/>
    <w:uiPriority w:val="0"/>
    <w:rPr>
      <w:sz w:val="18"/>
      <w:szCs w:val="18"/>
    </w:rPr>
  </w:style>
  <w:style w:type="paragraph" w:styleId="5">
    <w:name w:val="footer"/>
    <w:basedOn w:val="1"/>
    <w:link w:val="3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35"/>
    <w:qFormat/>
    <w:uiPriority w:val="0"/>
    <w:rPr>
      <w:b/>
      <w:bCs/>
    </w:rPr>
  </w:style>
  <w:style w:type="character" w:styleId="11">
    <w:name w:val="FollowedHyperlink"/>
    <w:basedOn w:val="10"/>
    <w:qFormat/>
    <w:uiPriority w:val="0"/>
    <w:rPr>
      <w:color w:val="3F3F3F"/>
      <w:u w:val="none"/>
    </w:rPr>
  </w:style>
  <w:style w:type="character" w:styleId="12">
    <w:name w:val="HTML Definition"/>
    <w:basedOn w:val="10"/>
    <w:qFormat/>
    <w:uiPriority w:val="0"/>
  </w:style>
  <w:style w:type="character" w:styleId="13">
    <w:name w:val="HTML Variable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F3F3F"/>
      <w:u w:val="none"/>
    </w:rPr>
  </w:style>
  <w:style w:type="character" w:styleId="15">
    <w:name w:val="HTML Code"/>
    <w:basedOn w:val="10"/>
    <w:qFormat/>
    <w:uiPriority w:val="0"/>
    <w:rPr>
      <w:rFonts w:ascii="Courier New" w:hAnsi="Courier New"/>
      <w:sz w:val="20"/>
    </w:rPr>
  </w:style>
  <w:style w:type="character" w:styleId="16">
    <w:name w:val="annotation reference"/>
    <w:basedOn w:val="10"/>
    <w:uiPriority w:val="0"/>
    <w:rPr>
      <w:sz w:val="21"/>
      <w:szCs w:val="21"/>
    </w:rPr>
  </w:style>
  <w:style w:type="character" w:styleId="17">
    <w:name w:val="HTML Cite"/>
    <w:basedOn w:val="10"/>
    <w:qFormat/>
    <w:uiPriority w:val="0"/>
  </w:style>
  <w:style w:type="character" w:customStyle="1" w:styleId="18">
    <w:name w:val="bsharetext"/>
    <w:basedOn w:val="10"/>
    <w:qFormat/>
    <w:uiPriority w:val="0"/>
  </w:style>
  <w:style w:type="character" w:customStyle="1" w:styleId="19">
    <w:name w:val="font"/>
    <w:basedOn w:val="10"/>
    <w:qFormat/>
    <w:uiPriority w:val="0"/>
  </w:style>
  <w:style w:type="character" w:customStyle="1" w:styleId="20">
    <w:name w:val="font1"/>
    <w:basedOn w:val="10"/>
    <w:qFormat/>
    <w:uiPriority w:val="0"/>
  </w:style>
  <w:style w:type="character" w:customStyle="1" w:styleId="21">
    <w:name w:val="hover19"/>
    <w:basedOn w:val="10"/>
    <w:qFormat/>
    <w:uiPriority w:val="0"/>
    <w:rPr>
      <w:color w:val="025291"/>
    </w:rPr>
  </w:style>
  <w:style w:type="character" w:customStyle="1" w:styleId="22">
    <w:name w:val="place"/>
    <w:basedOn w:val="10"/>
    <w:qFormat/>
    <w:uiPriority w:val="0"/>
  </w:style>
  <w:style w:type="character" w:customStyle="1" w:styleId="23">
    <w:name w:val="place1"/>
    <w:basedOn w:val="10"/>
    <w:qFormat/>
    <w:uiPriority w:val="0"/>
  </w:style>
  <w:style w:type="character" w:customStyle="1" w:styleId="24">
    <w:name w:val="place2"/>
    <w:basedOn w:val="10"/>
    <w:qFormat/>
    <w:uiPriority w:val="0"/>
    <w:rPr>
      <w:rFonts w:ascii="微软雅黑" w:hAnsi="微软雅黑" w:eastAsia="微软雅黑" w:cs="微软雅黑"/>
      <w:color w:val="888888"/>
      <w:sz w:val="20"/>
      <w:szCs w:val="20"/>
    </w:rPr>
  </w:style>
  <w:style w:type="character" w:customStyle="1" w:styleId="25">
    <w:name w:val="place3"/>
    <w:basedOn w:val="10"/>
    <w:qFormat/>
    <w:uiPriority w:val="0"/>
  </w:style>
  <w:style w:type="character" w:customStyle="1" w:styleId="26">
    <w:name w:val="noline"/>
    <w:basedOn w:val="10"/>
    <w:qFormat/>
    <w:uiPriority w:val="0"/>
  </w:style>
  <w:style w:type="character" w:customStyle="1" w:styleId="27">
    <w:name w:val="laypage_curr"/>
    <w:basedOn w:val="10"/>
    <w:qFormat/>
    <w:uiPriority w:val="0"/>
    <w:rPr>
      <w:color w:val="FFFDF4"/>
      <w:shd w:val="clear" w:color="auto" w:fill="0B67A6"/>
    </w:rPr>
  </w:style>
  <w:style w:type="character" w:customStyle="1" w:styleId="28">
    <w:name w:val="gwds_nopic"/>
    <w:basedOn w:val="10"/>
    <w:qFormat/>
    <w:uiPriority w:val="0"/>
  </w:style>
  <w:style w:type="character" w:customStyle="1" w:styleId="29">
    <w:name w:val="gwds_nopic1"/>
    <w:basedOn w:val="10"/>
    <w:qFormat/>
    <w:uiPriority w:val="0"/>
  </w:style>
  <w:style w:type="character" w:customStyle="1" w:styleId="30">
    <w:name w:val="gwds_nopic2"/>
    <w:basedOn w:val="10"/>
    <w:qFormat/>
    <w:uiPriority w:val="0"/>
  </w:style>
  <w:style w:type="character" w:customStyle="1" w:styleId="31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32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33">
    <w:name w:val="页脚 字符"/>
    <w:basedOn w:val="10"/>
    <w:link w:val="5"/>
    <w:uiPriority w:val="0"/>
    <w:rPr>
      <w:kern w:val="2"/>
      <w:sz w:val="18"/>
      <w:szCs w:val="18"/>
    </w:rPr>
  </w:style>
  <w:style w:type="character" w:customStyle="1" w:styleId="34">
    <w:name w:val="批注文字 字符"/>
    <w:basedOn w:val="10"/>
    <w:link w:val="3"/>
    <w:uiPriority w:val="0"/>
    <w:rPr>
      <w:kern w:val="2"/>
      <w:sz w:val="21"/>
      <w:szCs w:val="24"/>
    </w:rPr>
  </w:style>
  <w:style w:type="character" w:customStyle="1" w:styleId="35">
    <w:name w:val="批注主题 字符"/>
    <w:basedOn w:val="34"/>
    <w:link w:val="8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589</Words>
  <Characters>3363</Characters>
  <Lines>28</Lines>
  <Paragraphs>7</Paragraphs>
  <TotalTime>1</TotalTime>
  <ScaleCrop>false</ScaleCrop>
  <LinksUpToDate>false</LinksUpToDate>
  <CharactersWithSpaces>3945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2019-11-25T13:31:00Z</dcterms:created>
  <dc:creator>谢雯</dc:creator>
  <cp:lastModifiedBy>非遗</cp:lastModifiedBy>
  <dcterms:modified xsi:type="dcterms:W3CDTF">2020-04-18T15:41:09Z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